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6C398" w14:textId="15C0636D" w:rsidR="00594FB3" w:rsidRDefault="00594FB3" w:rsidP="00700AA1">
      <w:pPr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  <w:lang w:val="it-IT"/>
        </w:rPr>
      </w:pPr>
      <w:r w:rsidRPr="00594FB3"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  <w:lang w:val="it-IT"/>
        </w:rPr>
        <w:t>I confin</w:t>
      </w:r>
      <w:r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  <w:lang w:val="it-IT"/>
        </w:rPr>
        <w:t>i</w:t>
      </w:r>
      <w:r w:rsidRPr="00594FB3"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  <w:lang w:val="it-IT"/>
        </w:rPr>
        <w:t xml:space="preserve"> organizzativi per la transizione </w:t>
      </w:r>
      <w:r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  <w:lang w:val="it-IT"/>
        </w:rPr>
        <w:t>sostenibile</w:t>
      </w:r>
    </w:p>
    <w:p w14:paraId="10B2F7AF" w14:textId="6900A431" w:rsidR="00176CE8" w:rsidRPr="0015580B" w:rsidRDefault="00176CE8" w:rsidP="00176CE8">
      <w:pPr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</w:rPr>
      </w:pPr>
      <w:r w:rsidRPr="0015580B"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</w:rPr>
        <w:t>(Organizational boundaries for sustainability transition)</w:t>
      </w:r>
    </w:p>
    <w:p w14:paraId="4C9A8312" w14:textId="77777777" w:rsidR="007A5E23" w:rsidRPr="0015580B" w:rsidRDefault="007A5E23"/>
    <w:p w14:paraId="5EA3361C" w14:textId="77777777" w:rsidR="00700AA1" w:rsidRPr="0015580B" w:rsidRDefault="00700AA1" w:rsidP="00700AA1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</w:pPr>
    </w:p>
    <w:p w14:paraId="365FB194" w14:textId="5E55D887" w:rsidR="00700AA1" w:rsidRDefault="00700AA1" w:rsidP="00700AA1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>Supervisors</w:t>
      </w:r>
      <w:r w:rsidRPr="00767094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>:</w:t>
      </w:r>
      <w:r w:rsidRPr="0076709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Mariolina Longo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, Matteo Mura</w:t>
      </w:r>
    </w:p>
    <w:p w14:paraId="538693D0" w14:textId="77777777" w:rsidR="00B059DF" w:rsidRDefault="00B059DF" w:rsidP="00700AA1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</w:pPr>
    </w:p>
    <w:p w14:paraId="1E609174" w14:textId="3765B2BB" w:rsidR="00A86CB5" w:rsidRDefault="00A86CB5" w:rsidP="00700AA1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B059DF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>Coerenza con Piano Nazionale della Ricerca (PNR):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L</w:t>
      </w:r>
      <w:r w:rsidRPr="00A86CB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e tematiche coerenti sono relative alla Linea 5.5.2 “Cambiamento climatico, mitigazione e adattamento” del PNR, in particolare Articolazione 6. “Valutazione della efficacia e della sostenibilità delle misure di mitigazione” e Articolazione 7. “Sviluppo di strategie e azioni per l’attuazione di interventi di adattamento climatico”.</w:t>
      </w:r>
    </w:p>
    <w:p w14:paraId="102C59B4" w14:textId="6CE17145" w:rsidR="00700AA1" w:rsidRDefault="00700AA1" w:rsidP="00700AA1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</w:pPr>
    </w:p>
    <w:p w14:paraId="1FC354B0" w14:textId="77777777" w:rsidR="00B059DF" w:rsidRPr="00DA0D04" w:rsidRDefault="00B059DF" w:rsidP="00700AA1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</w:pPr>
    </w:p>
    <w:p w14:paraId="107A0731" w14:textId="77777777" w:rsidR="00700AA1" w:rsidRPr="00DA0D04" w:rsidRDefault="00700AA1" w:rsidP="00700AA1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</w:pPr>
      <w:r w:rsidRPr="00DA0D04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>Background</w:t>
      </w:r>
    </w:p>
    <w:p w14:paraId="34728A24" w14:textId="77777777" w:rsidR="000F727F" w:rsidRPr="00DA0D04" w:rsidRDefault="002D1D39" w:rsidP="002D1567">
      <w:pPr>
        <w:spacing w:before="120" w:after="120" w:line="360" w:lineRule="atLeast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I sistemi socio</w:t>
      </w:r>
      <w:r w:rsidR="000F727F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-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economici sono chiamati ad affrontare importanti sfide di sostenibilità</w:t>
      </w:r>
      <w:r w:rsidR="00DD015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,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che richiedono un uso più efficiente delle risorse a livello aziendale e </w:t>
      </w:r>
      <w:r w:rsidR="00DD015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di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catene di approvvigionamento. </w:t>
      </w:r>
      <w:r w:rsidR="00882B02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T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ransizione 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sostenibile </w:t>
      </w:r>
      <w:r w:rsidR="00882B02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ed economia circolare 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rappresentano leve di vantaggio competitivo per 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le 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imprese in quanto garantiscono l’accesso a nuovi mercati e un posizionamento strategico differenziale rispetto ai competitor, riducono i rischi di approvvigionamento di materie prime e componenti, generano esternalità positive per i territori nei quali tali imprese operano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, anche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attraverso la conservazione del capitale naturale (Kirchherr et al., 2017). Sono tuttavia ancora numerose le barriere percepite dal mondo industriale per sviluppare 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percorsi di transizione sostenibile e 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un approccio circolare al business: mancanza di coordinamento tra normative a livello locale, nazionale e sovranazionale, percezione da parte delle imprese dell’economia circolare come un costo e non come un investimento, comprensione su come sviluppare e implementare modelli di business circolari (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Canal-Vieira, Longo, Mura, 2022; 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Longo, Mura, Zanni, 2020).</w:t>
      </w:r>
      <w:r w:rsidR="009E38DC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Per superare tali barriere appare necessario adottare un approccio sistemico</w:t>
      </w:r>
      <w:r w:rsidR="00976C00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alla gestione aziendale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, declinato attraverso logiche di interconnessione, coevoluzione e multiscalarità (Schad, Bansal, 2018; Mura, Longo et al., 2021), per sviluppare modelli di business centrati sull’innovazione sostenibile (Adams et al., 2016; Kramer et al., 2019) e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su nuove forme 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organizzative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quali</w:t>
      </w:r>
      <w:r w:rsidR="00976C00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, ad esempio,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le meta-organizzazioni (</w:t>
      </w:r>
      <w:r w:rsidR="00976C00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Berkowitz et al., 2017</w:t>
      </w: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)</w:t>
      </w:r>
      <w:r w:rsidR="00287FD1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. </w:t>
      </w:r>
    </w:p>
    <w:p w14:paraId="292A486B" w14:textId="77777777" w:rsidR="00976C00" w:rsidRPr="000F727F" w:rsidRDefault="00976C00" w:rsidP="00B059DF">
      <w:pPr>
        <w:spacing w:before="120" w:after="120" w:line="360" w:lineRule="atLeast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In tale contesto appare necessario comprendere quali considerare come limiti e confini dell’azione organizzativa: l’impresa stessa, la sua catena del valore o il suo network del valore (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Grewatsch et al., 2021; Williams et al., 2021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).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Strategie aziendali che migliorano le prestazioni ambientali della singola impresa potrebbero non portare necessariamente a risultati migliori a livello di sistema, allo stesso tempo la strategia aziendale deve tenere in considerazione anche l'interazione con altre imprese, </w:t>
      </w:r>
      <w:r w:rsidR="000F727F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altri 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attori sociali, mercati 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lastRenderedPageBreak/>
        <w:t xml:space="preserve">diversi e ambiente naturale, questo porta a dover </w:t>
      </w:r>
      <w:r w:rsid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analizzare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l'intera catena del valore d</w:t>
      </w:r>
      <w:r w:rsid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ell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'impresa </w:t>
      </w:r>
      <w:r w:rsid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per la 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creazione di un reale impatto positivo.</w:t>
      </w:r>
    </w:p>
    <w:p w14:paraId="5628F355" w14:textId="77777777" w:rsidR="000F727F" w:rsidRDefault="009E38DC" w:rsidP="00B059DF">
      <w:pPr>
        <w:spacing w:before="120" w:after="120" w:line="360" w:lineRule="atLeast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Il</w:t>
      </w:r>
      <w:r w:rsidR="008A2861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progetto </w:t>
      </w:r>
      <w:r w:rsidR="008A2861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di ricerca si inserisce all’interno dello Spoke 5 (Circular and blue economy) del progetto </w:t>
      </w:r>
      <w:r w:rsidR="00B32700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“Ecosistema per la transizione sostenibile in Emilia Romagna”</w:t>
      </w:r>
      <w:r w:rsidR="008A2861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e 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ha l’obiettivo di approfondire </w:t>
      </w:r>
      <w:r w:rsidR="008A2861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i 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temi</w:t>
      </w:r>
      <w:r w:rsidR="008A2861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sopra esposti</w:t>
      </w:r>
      <w:r w:rsidR="000F727F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,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con un focus particolare su: </w:t>
      </w:r>
    </w:p>
    <w:p w14:paraId="7C0BE223" w14:textId="77777777" w:rsidR="000F727F" w:rsidRDefault="002D1567" w:rsidP="00B059DF">
      <w:pPr>
        <w:pStyle w:val="ListParagraph"/>
        <w:numPr>
          <w:ilvl w:val="0"/>
          <w:numId w:val="1"/>
        </w:numPr>
        <w:spacing w:before="120" w:after="120" w:line="360" w:lineRule="atLeast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analisi delle relazioni inter-organizzative nel processo di sviluppo di transizioni sostenibili</w:t>
      </w:r>
      <w:r w:rsid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;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</w:t>
      </w:r>
    </w:p>
    <w:p w14:paraId="6EEF45E2" w14:textId="77777777" w:rsidR="000F727F" w:rsidRDefault="008A2861" w:rsidP="00B059DF">
      <w:pPr>
        <w:pStyle w:val="ListParagraph"/>
        <w:numPr>
          <w:ilvl w:val="0"/>
          <w:numId w:val="1"/>
        </w:numPr>
        <w:spacing w:before="120" w:after="120" w:line="360" w:lineRule="atLeast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individuazione e definizione</w:t>
      </w:r>
      <w:r w:rsidR="002D1567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di tipologie specifiche di percorsi di transizione verso modelli </w:t>
      </w:r>
      <w:r w:rsidR="00E03946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circolari</w:t>
      </w:r>
      <w:r w:rsid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;</w:t>
      </w:r>
      <w:r w:rsidR="00E03946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</w:t>
      </w:r>
    </w:p>
    <w:p w14:paraId="6C58E1F7" w14:textId="77777777" w:rsidR="002D1567" w:rsidRPr="000F727F" w:rsidRDefault="00E03946" w:rsidP="00B059DF">
      <w:pPr>
        <w:pStyle w:val="ListParagraph"/>
        <w:numPr>
          <w:ilvl w:val="0"/>
          <w:numId w:val="1"/>
        </w:numPr>
        <w:spacing w:before="120" w:after="120" w:line="360" w:lineRule="atLeast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comprensione dei fattori abilitanti e delle barriere allo sviluppo di percorsi di transizione verso la sostenibilità.</w:t>
      </w:r>
    </w:p>
    <w:p w14:paraId="28E1AC1B" w14:textId="08B41C94" w:rsidR="00287FD1" w:rsidRPr="000F727F" w:rsidRDefault="00287FD1" w:rsidP="00B059DF">
      <w:pPr>
        <w:spacing w:before="120" w:after="120" w:line="360" w:lineRule="atLeast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Lo studio sarà condotto utilizzando dati primari raccolti attraverso interviste</w:t>
      </w:r>
      <w:r w:rsidR="00E03946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,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focus group</w:t>
      </w:r>
      <w:r w:rsidR="00E03946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e analisi testuale,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e dati secondari prodotti dall’</w:t>
      </w:r>
      <w:r w:rsidR="000F727F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Unione </w:t>
      </w:r>
      <w:r w:rsid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Europea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(es. database ETS, Eurostat) e realizzati dagli autori attraverso progetti precedenti (Mura, Longo et al., 2021). </w:t>
      </w:r>
    </w:p>
    <w:p w14:paraId="74944685" w14:textId="77777777" w:rsidR="00287FD1" w:rsidRPr="00287FD1" w:rsidRDefault="00287FD1" w:rsidP="00B059DF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</w:p>
    <w:p w14:paraId="77625DCA" w14:textId="19005797" w:rsidR="006F4234" w:rsidRPr="000F727F" w:rsidRDefault="000F727F" w:rsidP="00B059DF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 xml:space="preserve">Piano di </w:t>
      </w:r>
      <w:r w:rsidR="0015580B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>attività</w:t>
      </w:r>
      <w:r w:rsidRPr="000F727F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 xml:space="preserve"> del</w:t>
      </w:r>
      <w:r w:rsidR="008A2861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>l’assegnista</w:t>
      </w:r>
    </w:p>
    <w:p w14:paraId="13B509CB" w14:textId="77777777" w:rsidR="006F4234" w:rsidRPr="000F727F" w:rsidRDefault="000F727F" w:rsidP="00B059DF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u w:val="single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u w:val="single"/>
          <w:lang w:val="it-IT"/>
        </w:rPr>
        <w:t xml:space="preserve">Anno </w:t>
      </w:r>
      <w:r w:rsidR="006F4234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u w:val="single"/>
          <w:lang w:val="it-IT"/>
        </w:rPr>
        <w:t>1</w:t>
      </w:r>
    </w:p>
    <w:p w14:paraId="23456A85" w14:textId="77777777" w:rsidR="000F727F" w:rsidRPr="000F727F" w:rsidRDefault="000F727F" w:rsidP="00B059DF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Il primo anno si concentrerà principalmente sulla definizione delle domande di ricerca e sullo sviluppo del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la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base dati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. </w:t>
      </w:r>
      <w:r w:rsidR="00B32700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In particolare, le attività dell’assegnista 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riguarderanno:</w:t>
      </w:r>
    </w:p>
    <w:p w14:paraId="39142584" w14:textId="77777777" w:rsidR="000F727F" w:rsidRPr="000F727F" w:rsidRDefault="000F727F" w:rsidP="00B059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Sviluppo e definizione di un'agenda di ricerca;</w:t>
      </w:r>
    </w:p>
    <w:p w14:paraId="54F01171" w14:textId="77777777" w:rsidR="000F727F" w:rsidRPr="000F727F" w:rsidRDefault="000F727F" w:rsidP="00B059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Approfondimento della letteratura sulla transizione alla sostenibilità, con particolare riguardo ai confini organizzativi;</w:t>
      </w:r>
    </w:p>
    <w:p w14:paraId="18DA09C0" w14:textId="77777777" w:rsidR="000F727F" w:rsidRPr="000F727F" w:rsidRDefault="000F727F" w:rsidP="00B059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Progettazione del protocollo di intervista per la conduzione dei casi studio;</w:t>
      </w:r>
    </w:p>
    <w:p w14:paraId="7FB4BB3A" w14:textId="77777777" w:rsidR="000F727F" w:rsidRPr="000F727F" w:rsidRDefault="000F727F" w:rsidP="00B059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Selezione delle imprese per il caso di studio multiplo;</w:t>
      </w:r>
    </w:p>
    <w:p w14:paraId="537F8DEA" w14:textId="77777777" w:rsidR="000F727F" w:rsidRPr="000F727F" w:rsidRDefault="000F727F" w:rsidP="00B059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Analisi dei dati e definizione dei risultati preliminari</w:t>
      </w:r>
    </w:p>
    <w:p w14:paraId="5F742EEF" w14:textId="77777777" w:rsidR="000F727F" w:rsidRPr="000F727F" w:rsidRDefault="000F727F" w:rsidP="00B059DF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</w:p>
    <w:p w14:paraId="07397A5E" w14:textId="77777777" w:rsidR="006F4234" w:rsidRPr="000F727F" w:rsidRDefault="000F727F" w:rsidP="00B059DF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u w:val="single"/>
          <w:lang w:val="it-IT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u w:val="single"/>
          <w:lang w:val="it-IT"/>
        </w:rPr>
        <w:t xml:space="preserve">Anno </w:t>
      </w:r>
      <w:r w:rsidR="006F4234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u w:val="single"/>
          <w:lang w:val="it-IT"/>
        </w:rPr>
        <w:t>2</w:t>
      </w:r>
    </w:p>
    <w:p w14:paraId="43181F12" w14:textId="77777777" w:rsidR="000F727F" w:rsidRDefault="000F727F" w:rsidP="00B059DF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Il secondo anno si concentrerà sulla diffusione dei risultati del progetto. </w:t>
      </w:r>
      <w:r w:rsidR="00B569C9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In particolare, le attività dell’assegnista </w:t>
      </w:r>
      <w:r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riguarderanno:</w:t>
      </w:r>
    </w:p>
    <w:p w14:paraId="0F6CD4DA" w14:textId="77777777" w:rsidR="006F4234" w:rsidRDefault="000F727F" w:rsidP="00B059D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CA566C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Scrittura di articoli per convegni accademici </w:t>
      </w:r>
      <w:r w:rsidR="006F4234" w:rsidRPr="00CA566C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(</w:t>
      </w:r>
      <w:r w:rsidRPr="00CA566C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as es.</w:t>
      </w:r>
      <w:r w:rsidR="006F4234" w:rsidRPr="00CA566C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</w:t>
      </w:r>
      <w:r w:rsidR="006F4234" w:rsidRPr="000F727F">
        <w:rPr>
          <w:rFonts w:asciiTheme="majorHAnsi" w:eastAsiaTheme="majorEastAsia" w:hAnsiTheme="majorHAnsi" w:cstheme="majorBidi"/>
          <w:i/>
          <w:spacing w:val="-10"/>
          <w:kern w:val="28"/>
          <w:sz w:val="24"/>
          <w:szCs w:val="24"/>
        </w:rPr>
        <w:t>Sustainability Ethics &amp; Entrepreneurship Conference</w:t>
      </w:r>
      <w:r w:rsidR="006F4234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; </w:t>
      </w:r>
      <w:r w:rsidR="006F4234" w:rsidRPr="000F727F">
        <w:rPr>
          <w:rFonts w:asciiTheme="majorHAnsi" w:eastAsiaTheme="majorEastAsia" w:hAnsiTheme="majorHAnsi" w:cstheme="majorBidi"/>
          <w:i/>
          <w:spacing w:val="-10"/>
          <w:kern w:val="28"/>
          <w:sz w:val="24"/>
          <w:szCs w:val="24"/>
        </w:rPr>
        <w:t>AOM Annual Meeting</w:t>
      </w:r>
      <w:r w:rsidR="006F4234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; </w:t>
      </w:r>
      <w:r w:rsidR="006F4234" w:rsidRPr="000F727F">
        <w:rPr>
          <w:rFonts w:asciiTheme="majorHAnsi" w:eastAsiaTheme="majorEastAsia" w:hAnsiTheme="majorHAnsi" w:cstheme="majorBidi"/>
          <w:i/>
          <w:spacing w:val="-10"/>
          <w:kern w:val="28"/>
          <w:sz w:val="24"/>
          <w:szCs w:val="24"/>
        </w:rPr>
        <w:t>Euroma Conference</w:t>
      </w:r>
      <w:r w:rsidR="006F4234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; </w:t>
      </w:r>
      <w:r w:rsidR="006F4234" w:rsidRPr="000F727F">
        <w:rPr>
          <w:rFonts w:asciiTheme="majorHAnsi" w:eastAsiaTheme="majorEastAsia" w:hAnsiTheme="majorHAnsi" w:cstheme="majorBidi"/>
          <w:i/>
          <w:spacing w:val="-10"/>
          <w:kern w:val="28"/>
          <w:sz w:val="24"/>
          <w:szCs w:val="24"/>
        </w:rPr>
        <w:t>EU Commission Meetings of the Working Groups on industrial sustainability transition</w:t>
      </w:r>
      <w:r w:rsidR="006F4234" w:rsidRPr="000F727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).</w:t>
      </w:r>
    </w:p>
    <w:p w14:paraId="5D2E6478" w14:textId="77777777" w:rsidR="006F4234" w:rsidRDefault="00CA566C" w:rsidP="00B059D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Scrittura di articoli per riviste accademiche</w:t>
      </w:r>
      <w:r w:rsidR="006F4234"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(</w:t>
      </w:r>
      <w:r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ad es.</w:t>
      </w:r>
      <w:r w:rsidR="006F4234"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</w:t>
      </w:r>
      <w:r w:rsidR="006F423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Research Policy, Journal of Economic Geography, Journal of Business Ethics, Ecological Economics).</w:t>
      </w:r>
    </w:p>
    <w:p w14:paraId="57D12F0D" w14:textId="77777777" w:rsidR="006F4234" w:rsidRPr="00270E45" w:rsidRDefault="006F4234" w:rsidP="00B059DF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</w:pPr>
    </w:p>
    <w:p w14:paraId="0F06EF4D" w14:textId="77777777" w:rsidR="001327DA" w:rsidRDefault="001327DA" w:rsidP="00B059DF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</w:pPr>
      <w:r w:rsidRPr="001327DA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  <w:t xml:space="preserve">Valutazione dei risultati conseguiti </w:t>
      </w:r>
    </w:p>
    <w:p w14:paraId="18170DD4" w14:textId="462D1A92" w:rsidR="001327DA" w:rsidRPr="001327DA" w:rsidRDefault="000E732F" w:rsidP="00B059DF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L’assegnista</w:t>
      </w:r>
      <w:r w:rsidR="001327DA"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sarà tenuto a svolgere diligentemente le attività richieste, con la partecipazione a periodici incontri di coordinamento con i relatori accademici, durante i quali </w:t>
      </w:r>
      <w:r w:rsid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si </w:t>
      </w:r>
      <w:r w:rsidR="001327DA"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fisseranno obiettivi intermedi e </w:t>
      </w:r>
      <w:r w:rsid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verrà </w:t>
      </w:r>
      <w:r w:rsidR="001327DA"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verific</w:t>
      </w:r>
      <w:r w:rsid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ato</w:t>
      </w:r>
      <w:r w:rsidR="001327DA"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 xml:space="preserve"> lo stato di avanzamento dei risultati richiesti.</w:t>
      </w:r>
    </w:p>
    <w:p w14:paraId="477A41FA" w14:textId="77777777" w:rsidR="001327DA" w:rsidRPr="001327DA" w:rsidRDefault="001327DA" w:rsidP="00B059DF">
      <w:p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Al termine del biennio di borsa, l'assegnista dovrà conseguire i seguenti risultati scientifici:</w:t>
      </w:r>
    </w:p>
    <w:p w14:paraId="3841E3FF" w14:textId="77777777" w:rsidR="001327DA" w:rsidRPr="001327DA" w:rsidRDefault="001327DA" w:rsidP="00B059D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Presentazioni dei risultati raggiunti durante il progetto in almeno quattro conferenze internazionali;</w:t>
      </w:r>
    </w:p>
    <w:p w14:paraId="52D46EC0" w14:textId="77777777" w:rsidR="001327DA" w:rsidRPr="001327DA" w:rsidRDefault="001327DA" w:rsidP="00B059D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  <w:r w:rsidRPr="001327DA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  <w:t>Avere almeno quattro articoli, sviluppati sui risultati di questo progetto, in R&amp;R in riviste Gold o Gold Star (AiIG Ranking 2022).</w:t>
      </w:r>
    </w:p>
    <w:p w14:paraId="3AA98FAC" w14:textId="77777777" w:rsidR="001327DA" w:rsidRPr="001327DA" w:rsidRDefault="001327DA" w:rsidP="00B059DF">
      <w:pPr>
        <w:spacing w:line="360" w:lineRule="auto"/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it-IT"/>
        </w:rPr>
      </w:pPr>
    </w:p>
    <w:p w14:paraId="15F97DBF" w14:textId="77777777" w:rsidR="00700AA1" w:rsidRPr="001327DA" w:rsidRDefault="00700AA1" w:rsidP="00B059DF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</w:p>
    <w:p w14:paraId="1F59CE13" w14:textId="77777777" w:rsidR="002D1D39" w:rsidRPr="001327DA" w:rsidRDefault="002D1D39" w:rsidP="00B059DF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</w:p>
    <w:p w14:paraId="53435F88" w14:textId="77777777" w:rsidR="002D1D39" w:rsidRPr="00DA0D04" w:rsidRDefault="002D1D39" w:rsidP="001327DA">
      <w:pPr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</w:pPr>
      <w:r w:rsidRPr="00DA0D04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  <w:t>References</w:t>
      </w:r>
    </w:p>
    <w:p w14:paraId="2738BF0C" w14:textId="77777777" w:rsidR="009C2AE5" w:rsidRDefault="009C2AE5" w:rsidP="001327DA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Adams R., Jeanrenaud S., Bessant J, Denyer D. and Overy P. (2016) “Sustainability-oriented Innovation: A Systematic Review”, International Journal of Management Reviews, Vol. 18, pp. 180–205. </w:t>
      </w:r>
    </w:p>
    <w:p w14:paraId="6249B030" w14:textId="0D483C2A" w:rsidR="000F727F" w:rsidRPr="003D3556" w:rsidRDefault="009C2AE5" w:rsidP="001327DA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Berkowitz, H., </w:t>
      </w:r>
      <w:r w:rsidR="002D1D39"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Bucheli, M., &amp; Dumez, H. (2017): “Collective CSR strategy and the role of meta-organizations: A case study of the oil and gas industry.” </w:t>
      </w:r>
      <w:r w:rsidR="002D1D39" w:rsidRPr="003D3556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Journal of Business Ethics</w:t>
      </w:r>
      <w:r w:rsidR="002D1D39" w:rsidRPr="002D1D39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, 143 (4), 753–769.</w:t>
      </w:r>
    </w:p>
    <w:p w14:paraId="3FF907CA" w14:textId="7EA98F5B" w:rsidR="003D3556" w:rsidRDefault="003D3556" w:rsidP="001327DA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3D3556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Canal-Vieira L., Longo. M., Mura M. (2022) “From carbon dependence to renewables: The European Oil Majors’ strategies to face climate change”, Business Strategy and the Environment. DOI: 10.1002/bse.3185</w:t>
      </w:r>
    </w:p>
    <w:p w14:paraId="56C06BFD" w14:textId="77777777" w:rsidR="00B374C9" w:rsidRPr="00B374C9" w:rsidRDefault="00B374C9" w:rsidP="00B374C9">
      <w:pPr>
        <w:pStyle w:val="Bibliography"/>
        <w:spacing w:before="240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B374C9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Grewatsch, S., Kennedy, S., &amp; Bansal, P. (2021). Tackling wicked problems in strategic management with systems thinking. Strategic Organization, 147612702110386. https://doi.org/10.1177/14761270211038635</w:t>
      </w:r>
    </w:p>
    <w:p w14:paraId="5A2A9BBF" w14:textId="15706038" w:rsidR="009C2AE5" w:rsidRPr="009C2AE5" w:rsidRDefault="009C2AE5" w:rsidP="001327DA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Kirchherr J., Reike D., Hekkert M. (2017) “Conceptualizing the circular economy: An analysis of 114 definitions”, Resources, Conservation &amp; Recycling Vol. 127, p. 221–232.</w:t>
      </w:r>
    </w:p>
    <w:p w14:paraId="2EBD565D" w14:textId="6FC95D82" w:rsidR="00A81FAF" w:rsidRPr="009C2AE5" w:rsidRDefault="00A81FAF" w:rsidP="001327DA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Kramer </w:t>
      </w:r>
      <w:r w:rsidR="009C2AE5"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M.R.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,</w:t>
      </w:r>
      <w:r w:rsidR="009C2AE5"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Agarwal R., Srinivas A.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</w:t>
      </w:r>
      <w:r w:rsidR="009C2AE5"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(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2019</w:t>
      </w:r>
      <w:r w:rsidR="009C2AE5"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) “Business as usual will not save the planet”, Harvard Business Review, June. </w:t>
      </w:r>
    </w:p>
    <w:p w14:paraId="30A6EDDA" w14:textId="77777777" w:rsidR="000F727F" w:rsidRPr="003D3556" w:rsidRDefault="000F727F" w:rsidP="001327DA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3D3556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Mura M., Longo M., Toschi L., Zanni S., Visani F., Bianconcini S. (2021) “The role of geographical scales in sustainability transitions: An empirical investigation of the European industrial context”, Ecological Economics, Vol. 183.</w:t>
      </w:r>
    </w:p>
    <w:p w14:paraId="0EFF834A" w14:textId="77777777" w:rsidR="000F727F" w:rsidRPr="009C2AE5" w:rsidRDefault="000F727F" w:rsidP="001327DA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DA0D04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Mura M., Longo M., Zanni S. (2020) “Circular economy in Italian SMEs: A multi-method study”, Journal of Cleaner Production. 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Vol. 245.</w:t>
      </w:r>
    </w:p>
    <w:p w14:paraId="020BC68E" w14:textId="6BB2E3D0" w:rsidR="009C2AE5" w:rsidRDefault="009C2AE5" w:rsidP="00B374C9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Schad, J., Bansal, P.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(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2018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)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“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Seeing the Forest and the Trees: How a Systems Perspective Informs Paradox Research: How a Systems Perspective Informs Paradox Research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”,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Jour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nal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of Manage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ment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Stud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ies,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55,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pp.</w:t>
      </w:r>
      <w:r w:rsidRPr="009C2AE5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1490–1506. https://doi.org/10.1111/joms.12398</w:t>
      </w:r>
    </w:p>
    <w:p w14:paraId="47E15F19" w14:textId="53E7E367" w:rsidR="00B374C9" w:rsidRPr="00B374C9" w:rsidRDefault="00B374C9" w:rsidP="00B374C9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B374C9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Williams, A., Whiteman, G., &amp; Kennedy, S. (2021). Cross-scale systemic resilience: Implications for organization studies. Business &amp; Society, 60(1), 95–124. https://doi.org/10.1177/0007650319825870</w:t>
      </w:r>
    </w:p>
    <w:p w14:paraId="21B99BFA" w14:textId="77777777" w:rsidR="00A81FAF" w:rsidRPr="001327DA" w:rsidRDefault="00A81FAF" w:rsidP="001327DA">
      <w:pPr>
        <w:shd w:val="clear" w:color="auto" w:fill="FFFFFF"/>
        <w:spacing w:before="100" w:beforeAutospacing="1" w:after="100" w:afterAutospacing="1" w:line="360" w:lineRule="atLeast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it-IT"/>
        </w:rPr>
      </w:pPr>
    </w:p>
    <w:p w14:paraId="68A18163" w14:textId="3D77CFA1" w:rsidR="000F727F" w:rsidRPr="002D1D39" w:rsidRDefault="000F727F" w:rsidP="001327D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_GoBack"/>
      <w:bookmarkEnd w:id="0"/>
    </w:p>
    <w:p w14:paraId="16ED9C51" w14:textId="77777777" w:rsidR="002D1D39" w:rsidRPr="006F4234" w:rsidRDefault="002D1D39"/>
    <w:sectPr w:rsidR="002D1D39" w:rsidRPr="006F423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6E3F" w16cex:dateUtc="2022-10-19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80F23A" w16cid:durableId="26FA6E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2402F" w14:textId="77777777" w:rsidR="00AC57EA" w:rsidRDefault="00AC57EA" w:rsidP="00B059DF">
      <w:r>
        <w:separator/>
      </w:r>
    </w:p>
  </w:endnote>
  <w:endnote w:type="continuationSeparator" w:id="0">
    <w:p w14:paraId="76901BFB" w14:textId="77777777" w:rsidR="00AC57EA" w:rsidRDefault="00AC57EA" w:rsidP="00B0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437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BF0FA" w14:textId="3EB3DC35" w:rsidR="00B059DF" w:rsidRDefault="00B059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7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D68CF9" w14:textId="77777777" w:rsidR="00B059DF" w:rsidRDefault="00B05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06391" w14:textId="77777777" w:rsidR="00AC57EA" w:rsidRDefault="00AC57EA" w:rsidP="00B059DF">
      <w:r>
        <w:separator/>
      </w:r>
    </w:p>
  </w:footnote>
  <w:footnote w:type="continuationSeparator" w:id="0">
    <w:p w14:paraId="370192FE" w14:textId="77777777" w:rsidR="00AC57EA" w:rsidRDefault="00AC57EA" w:rsidP="00B0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A52"/>
    <w:multiLevelType w:val="hybridMultilevel"/>
    <w:tmpl w:val="D7021814"/>
    <w:lvl w:ilvl="0" w:tplc="27F8E08A"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="Calibri Ligh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15334"/>
    <w:multiLevelType w:val="hybridMultilevel"/>
    <w:tmpl w:val="936E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501B8"/>
    <w:multiLevelType w:val="hybridMultilevel"/>
    <w:tmpl w:val="735AA97A"/>
    <w:lvl w:ilvl="0" w:tplc="A5845B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B2924"/>
    <w:multiLevelType w:val="hybridMultilevel"/>
    <w:tmpl w:val="1048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63E90"/>
    <w:multiLevelType w:val="multilevel"/>
    <w:tmpl w:val="0A50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39474C"/>
    <w:multiLevelType w:val="hybridMultilevel"/>
    <w:tmpl w:val="C9B6C610"/>
    <w:lvl w:ilvl="0" w:tplc="BEE01EA2">
      <w:start w:val="1"/>
      <w:numFmt w:val="bullet"/>
      <w:lvlText w:val="·"/>
      <w:lvlJc w:val="left"/>
      <w:pPr>
        <w:ind w:left="720" w:hanging="358"/>
      </w:pPr>
      <w:rPr>
        <w:rFonts w:ascii="Symbol" w:eastAsia="Symbol" w:hAnsi="Symbol" w:cs="Symbol"/>
      </w:rPr>
    </w:lvl>
    <w:lvl w:ilvl="1" w:tplc="0409000F">
      <w:start w:val="1"/>
      <w:numFmt w:val="decimal"/>
      <w:lvlText w:val="%2."/>
      <w:lvlJc w:val="left"/>
      <w:pPr>
        <w:ind w:left="1440" w:hanging="358"/>
      </w:pPr>
    </w:lvl>
    <w:lvl w:ilvl="2" w:tplc="F82C44C0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/>
      </w:rPr>
    </w:lvl>
    <w:lvl w:ilvl="3" w:tplc="E26CD2F8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/>
      </w:rPr>
    </w:lvl>
    <w:lvl w:ilvl="4" w:tplc="12D24072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/>
      </w:rPr>
    </w:lvl>
    <w:lvl w:ilvl="5" w:tplc="AA60D14C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/>
      </w:rPr>
    </w:lvl>
    <w:lvl w:ilvl="6" w:tplc="FB48AF18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/>
      </w:rPr>
    </w:lvl>
    <w:lvl w:ilvl="7" w:tplc="BAE2E18A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/>
      </w:rPr>
    </w:lvl>
    <w:lvl w:ilvl="8" w:tplc="0F0C8F04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/>
      </w:rPr>
    </w:lvl>
  </w:abstractNum>
  <w:abstractNum w:abstractNumId="6" w15:restartNumberingAfterBreak="0">
    <w:nsid w:val="64BE1A4D"/>
    <w:multiLevelType w:val="hybridMultilevel"/>
    <w:tmpl w:val="4B3E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44DD8"/>
    <w:multiLevelType w:val="hybridMultilevel"/>
    <w:tmpl w:val="8084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04E0B"/>
    <w:multiLevelType w:val="multilevel"/>
    <w:tmpl w:val="8D6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01D0F"/>
    <w:multiLevelType w:val="multilevel"/>
    <w:tmpl w:val="0A50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A1"/>
    <w:rsid w:val="000E732F"/>
    <w:rsid w:val="000F727F"/>
    <w:rsid w:val="001327DA"/>
    <w:rsid w:val="0015580B"/>
    <w:rsid w:val="00176CE8"/>
    <w:rsid w:val="00287FD1"/>
    <w:rsid w:val="002D1567"/>
    <w:rsid w:val="002D1D39"/>
    <w:rsid w:val="00390E95"/>
    <w:rsid w:val="003D3556"/>
    <w:rsid w:val="00594FB3"/>
    <w:rsid w:val="005F1B8B"/>
    <w:rsid w:val="006F4234"/>
    <w:rsid w:val="00700AA1"/>
    <w:rsid w:val="00701F24"/>
    <w:rsid w:val="007A5E23"/>
    <w:rsid w:val="00882B02"/>
    <w:rsid w:val="008A2861"/>
    <w:rsid w:val="008D1B32"/>
    <w:rsid w:val="00976C00"/>
    <w:rsid w:val="009C2AE5"/>
    <w:rsid w:val="009E38DC"/>
    <w:rsid w:val="00A81FAF"/>
    <w:rsid w:val="00A86CB5"/>
    <w:rsid w:val="00AC57EA"/>
    <w:rsid w:val="00B059DF"/>
    <w:rsid w:val="00B32700"/>
    <w:rsid w:val="00B374C9"/>
    <w:rsid w:val="00B40404"/>
    <w:rsid w:val="00B569C9"/>
    <w:rsid w:val="00C76128"/>
    <w:rsid w:val="00CA566C"/>
    <w:rsid w:val="00DA0D04"/>
    <w:rsid w:val="00DD0154"/>
    <w:rsid w:val="00E03946"/>
    <w:rsid w:val="00E2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CFFB"/>
  <w15:chartTrackingRefBased/>
  <w15:docId w15:val="{500EC247-5C4B-48C6-98C0-9E1CC30E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A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Points,MAIN CONTENT,List Paragraph12,Bullet 1,OBC Bullet,FooterText,numbered,Paragraphe de liste1,Bulletr List Paragraph,列出段落"/>
    <w:basedOn w:val="Normal"/>
    <w:link w:val="ListParagraphChar"/>
    <w:uiPriority w:val="34"/>
    <w:qFormat/>
    <w:rsid w:val="00700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2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1D3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82B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List Paragraph12 Char,Bullet 1 Char,OBC Bullet Char,FooterText Char"/>
    <w:basedOn w:val="DefaultParagraphFont"/>
    <w:link w:val="ListParagraph"/>
    <w:uiPriority w:val="34"/>
    <w:rsid w:val="000F727F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37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4C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4C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74C9"/>
    <w:pPr>
      <w:spacing w:after="0" w:line="240" w:lineRule="auto"/>
    </w:pPr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B374C9"/>
  </w:style>
  <w:style w:type="paragraph" w:styleId="BalloonText">
    <w:name w:val="Balloon Text"/>
    <w:basedOn w:val="Normal"/>
    <w:link w:val="BalloonTextChar"/>
    <w:uiPriority w:val="99"/>
    <w:semiHidden/>
    <w:unhideWhenUsed/>
    <w:rsid w:val="00A86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5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9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5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9D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0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03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Mura</dc:creator>
  <cp:keywords/>
  <dc:description/>
  <cp:lastModifiedBy>Matteo Mura</cp:lastModifiedBy>
  <cp:revision>8</cp:revision>
  <dcterms:created xsi:type="dcterms:W3CDTF">2022-10-21T14:06:00Z</dcterms:created>
  <dcterms:modified xsi:type="dcterms:W3CDTF">2023-07-18T08:05:00Z</dcterms:modified>
</cp:coreProperties>
</file>